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bidi w:val="0"/>
        <w:spacing w:before="240" w:after="12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UMOWA</w:t>
      </w:r>
    </w:p>
    <w:p>
      <w:pPr>
        <w:pStyle w:val="Nagwek2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sprawie transgranicznego przemieszczania odpadów przeznaczonych do odzysku</w:t>
      </w:r>
    </w:p>
    <w:p>
      <w:pPr>
        <w:pStyle w:val="Nagwek3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sporządzona zgodnie z art. 18 Rozporządzenia Parlamentu Europejskiego i Rady (UE) 2024/1157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zawarta w dniu ........................................................ w ........................................................, pomiędzy:</w:t>
      </w:r>
    </w:p>
    <w:p>
      <w:pPr>
        <w:pStyle w:val="Tretekstu"/>
        <w:bidi w:val="0"/>
        <w:spacing w:lineRule="auto" w:line="276" w:before="0" w:after="283"/>
        <w:jc w:val="left"/>
        <w:rPr/>
      </w:pPr>
      <w:r>
        <w:rPr>
          <w:rStyle w:val="Mocnewyrnione"/>
          <w:rFonts w:ascii="Arial" w:hAnsi="Arial"/>
          <w:sz w:val="22"/>
          <w:szCs w:val="22"/>
        </w:rPr>
        <w:t>........................................................</w:t>
      </w:r>
      <w:r>
        <w:rPr>
          <w:rFonts w:ascii="Arial" w:hAnsi="Arial"/>
          <w:sz w:val="22"/>
          <w:szCs w:val="22"/>
        </w:rPr>
        <w:t>, z siedzibą w ................................................................................................................, wpisaną do ................................................................................................................, posiadającą numer VAT/NIP ........................................................, reprezentowaną przez ................................................................................................................,</w:t>
      </w:r>
    </w:p>
    <w:p>
      <w:pPr>
        <w:pStyle w:val="Tretekstu"/>
        <w:bidi w:val="0"/>
        <w:spacing w:lineRule="auto" w:line="276" w:before="0" w:after="283"/>
        <w:jc w:val="left"/>
        <w:rPr/>
      </w:pPr>
      <w:r>
        <w:rPr>
          <w:rFonts w:ascii="Arial" w:hAnsi="Arial"/>
          <w:sz w:val="22"/>
          <w:szCs w:val="22"/>
        </w:rPr>
        <w:t xml:space="preserve">zwaną dalej </w:t>
      </w:r>
      <w:r>
        <w:rPr>
          <w:rStyle w:val="Mocnewyrnione"/>
          <w:rFonts w:ascii="Arial" w:hAnsi="Arial"/>
          <w:sz w:val="22"/>
          <w:szCs w:val="22"/>
        </w:rPr>
        <w:t>„Organizatorem”</w:t>
      </w:r>
      <w:r>
        <w:rPr>
          <w:rFonts w:ascii="Arial" w:hAnsi="Arial"/>
          <w:sz w:val="22"/>
          <w:szCs w:val="22"/>
        </w:rPr>
        <w:t>,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</w:p>
    <w:p>
      <w:pPr>
        <w:pStyle w:val="Tretekstu"/>
        <w:bidi w:val="0"/>
        <w:spacing w:lineRule="auto" w:line="276" w:before="0" w:after="283"/>
        <w:jc w:val="left"/>
        <w:rPr/>
      </w:pPr>
      <w:r>
        <w:rPr>
          <w:rStyle w:val="Mocnewyrnione"/>
          <w:rFonts w:ascii="Arial" w:hAnsi="Arial"/>
          <w:sz w:val="22"/>
          <w:szCs w:val="22"/>
        </w:rPr>
        <w:t>........................................................</w:t>
      </w:r>
      <w:r>
        <w:rPr>
          <w:rFonts w:ascii="Arial" w:hAnsi="Arial"/>
          <w:sz w:val="22"/>
          <w:szCs w:val="22"/>
        </w:rPr>
        <w:t>, z siedzibą w ................................................................................................................, wpisaną do ................................................................................................................, posiadającą numer VAT/NIP ........................................................, reprezentowaną przez ................................................................................................................,</w:t>
      </w:r>
    </w:p>
    <w:p>
      <w:pPr>
        <w:pStyle w:val="Tretekstu"/>
        <w:bidi w:val="0"/>
        <w:spacing w:lineRule="auto" w:line="276" w:before="0" w:after="283"/>
        <w:jc w:val="left"/>
        <w:rPr/>
      </w:pPr>
      <w:r>
        <w:rPr>
          <w:rFonts w:ascii="Arial" w:hAnsi="Arial"/>
          <w:sz w:val="22"/>
          <w:szCs w:val="22"/>
        </w:rPr>
        <w:t xml:space="preserve">zwaną dalej </w:t>
      </w:r>
      <w:r>
        <w:rPr>
          <w:rStyle w:val="Mocnewyrnione"/>
          <w:rFonts w:ascii="Arial" w:hAnsi="Arial"/>
          <w:sz w:val="22"/>
          <w:szCs w:val="22"/>
        </w:rPr>
        <w:t>„Odbiorcą”</w:t>
      </w:r>
      <w:r>
        <w:rPr>
          <w:rFonts w:ascii="Arial" w:hAnsi="Arial"/>
          <w:sz w:val="22"/>
          <w:szCs w:val="22"/>
        </w:rPr>
        <w:t>,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oraz, jeżeli Odbiorca nie prowadzi procesu odzysku odpadów:</w:t>
      </w:r>
    </w:p>
    <w:p>
      <w:pPr>
        <w:pStyle w:val="Tretekstu"/>
        <w:bidi w:val="0"/>
        <w:spacing w:lineRule="auto" w:line="276" w:before="0" w:after="283"/>
        <w:jc w:val="left"/>
        <w:rPr/>
      </w:pPr>
      <w:r>
        <w:rPr>
          <w:rStyle w:val="Mocnewyrnione"/>
          <w:rFonts w:ascii="Arial" w:hAnsi="Arial"/>
          <w:sz w:val="22"/>
          <w:szCs w:val="22"/>
        </w:rPr>
        <w:t>........................................................</w:t>
      </w:r>
      <w:r>
        <w:rPr>
          <w:rFonts w:ascii="Arial" w:hAnsi="Arial"/>
          <w:sz w:val="22"/>
          <w:szCs w:val="22"/>
        </w:rPr>
        <w:t>, z siedzibą w ................................................................................................................, wpisaną do ................................................................................................................, posiadającą numer VAT/NIP ........................................................, reprezentowaną przez ................................................................................................................,</w:t>
      </w:r>
    </w:p>
    <w:p>
      <w:pPr>
        <w:pStyle w:val="Tretekstu"/>
        <w:bidi w:val="0"/>
        <w:spacing w:lineRule="auto" w:line="276" w:before="0" w:after="283"/>
        <w:jc w:val="left"/>
        <w:rPr/>
      </w:pPr>
      <w:r>
        <w:rPr>
          <w:rFonts w:ascii="Arial" w:hAnsi="Arial"/>
          <w:sz w:val="22"/>
          <w:szCs w:val="22"/>
        </w:rPr>
        <w:t xml:space="preserve">zwaną dalej </w:t>
      </w:r>
      <w:r>
        <w:rPr>
          <w:rStyle w:val="Mocnewyrnione"/>
          <w:rFonts w:ascii="Arial" w:hAnsi="Arial"/>
          <w:sz w:val="22"/>
          <w:szCs w:val="22"/>
        </w:rPr>
        <w:t>„Instalacją”</w:t>
      </w:r>
      <w:r>
        <w:rPr>
          <w:rFonts w:ascii="Arial" w:hAnsi="Arial"/>
          <w:sz w:val="22"/>
          <w:szCs w:val="22"/>
        </w:rPr>
        <w:t>.</w:t>
      </w:r>
    </w:p>
    <w:p>
      <w:pPr>
        <w:pStyle w:val="Tretekstu"/>
        <w:bidi w:val="0"/>
        <w:spacing w:lineRule="auto" w:line="276" w:before="0" w:after="283"/>
        <w:jc w:val="left"/>
        <w:rPr/>
      </w:pPr>
      <w:r>
        <w:rPr>
          <w:rFonts w:ascii="Arial" w:hAnsi="Arial"/>
          <w:sz w:val="22"/>
          <w:szCs w:val="22"/>
        </w:rPr>
        <w:t xml:space="preserve">Organizator, Odbiorca oraz Instalacja są dalej łącznie zwani </w:t>
      </w:r>
      <w:r>
        <w:rPr>
          <w:rStyle w:val="Mocnewyrnione"/>
          <w:rFonts w:ascii="Arial" w:hAnsi="Arial"/>
          <w:sz w:val="22"/>
          <w:szCs w:val="22"/>
        </w:rPr>
        <w:t>„Stronami”</w:t>
      </w:r>
      <w:r>
        <w:rPr>
          <w:rFonts w:ascii="Arial" w:hAnsi="Arial"/>
          <w:sz w:val="22"/>
          <w:szCs w:val="22"/>
        </w:rPr>
        <w:t xml:space="preserve">, a każdy z nich osobno </w:t>
      </w:r>
      <w:r>
        <w:rPr>
          <w:rStyle w:val="Mocnewyrnione"/>
          <w:rFonts w:ascii="Arial" w:hAnsi="Arial"/>
          <w:sz w:val="22"/>
          <w:szCs w:val="22"/>
        </w:rPr>
        <w:t>„Stroną”</w:t>
      </w:r>
      <w:r>
        <w:rPr>
          <w:rFonts w:ascii="Arial" w:hAnsi="Arial"/>
          <w:sz w:val="22"/>
          <w:szCs w:val="22"/>
        </w:rPr>
        <w:t>.</w:t>
      </w:r>
    </w:p>
    <w:p>
      <w:pPr>
        <w:pStyle w:val="Nagwek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Preambuła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Strony zawierają niniejszą umowę w celu określenia zasad współpracy przy transgranicznym przemieszczaniu odpadów przeznaczonych do odzysku.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Umowa została sporządzona w związku z wymaganiami art. 18 Rozporządzenia Parlamentu Europejskiego i Rady (UE) 2024/1157 z dnia 11 kwietnia 2024 r. w sprawie przemieszczania odpadów.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Strony potwierdzają, że będą wykonywać umowę zgodnie z przepisami prawa Unii Europejskiej, przepisami krajowymi mającymi zastosowanie do danego przemieszczania odpadów oraz zasadami ochrony środowiska.</w:t>
      </w:r>
    </w:p>
    <w:p>
      <w:pPr>
        <w:pStyle w:val="Nagwek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§1. Przedmiot umowy</w:t>
      </w:r>
    </w:p>
    <w:p>
      <w:pPr>
        <w:pStyle w:val="Tretekstu"/>
        <w:numPr>
          <w:ilvl w:val="0"/>
          <w:numId w:val="1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Przedmiotem umowy jest określenie praw i obowiązków Stron związanych z transgranicznym przemieszczaniem odpadów przeznaczonych do odzysku.</w:t>
      </w:r>
    </w:p>
    <w:p>
      <w:pPr>
        <w:pStyle w:val="Tretekstu"/>
        <w:numPr>
          <w:ilvl w:val="0"/>
          <w:numId w:val="1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Umowa obejmuje przemieszczania odpadów realizowane pomiędzy Stronami w okresie jej obowiązywania, chyba że Strony postanowią inaczej dla konkretnego transportu.</w:t>
      </w:r>
    </w:p>
    <w:p>
      <w:pPr>
        <w:pStyle w:val="Tretekstu"/>
        <w:numPr>
          <w:ilvl w:val="0"/>
          <w:numId w:val="1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Szczegółowe informacje dotyczące poszczególnych transportów mogą być określane każdorazowo w dokumentach dotyczących danego przemieszczania, w szczególności w dokumencie informacyjnym wymaganym przepisami prawa, dokumencie przewozowym, zleceniu transportowym lub innej dokumentacji uzgodnionej przez Strony.</w:t>
      </w:r>
    </w:p>
    <w:p>
      <w:pPr>
        <w:pStyle w:val="Tretekstu"/>
        <w:numPr>
          <w:ilvl w:val="0"/>
          <w:numId w:val="1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Informacje, o których mowa w ust. 3, mogą obejmować w szczególności: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a) rodzaj i kod odpadów;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ilość odpadów;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c) miejsce załadunku;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d) miejsce przeznaczenia;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e) planowany proces odzysku;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f) dane przewoźnika;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g) planowany termin transportu;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h) trasę transportu, jeżeli jest znana lub wymagana.</w:t>
      </w:r>
    </w:p>
    <w:p>
      <w:pPr>
        <w:pStyle w:val="Tretekstu"/>
        <w:numPr>
          <w:ilvl w:val="0"/>
          <w:numId w:val="1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Niniejsza umowa nie zastępuje dokumentów wymaganych dla danego przemieszczania odpadów na podstawie obowiązujących przepisów prawa.</w:t>
      </w:r>
    </w:p>
    <w:p>
      <w:pPr>
        <w:pStyle w:val="Tretekstu"/>
        <w:numPr>
          <w:ilvl w:val="0"/>
          <w:numId w:val="1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Każda ze Stron zobowiązuje się wykonywać umowę z należytą starannością, w sposób umożliwiający zgodne z prawem rozpoczęcie, przeprowadzenie i zakończenie przemieszczania odpadów.</w:t>
      </w:r>
    </w:p>
    <w:p>
      <w:pPr>
        <w:pStyle w:val="Nagwek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§2. Oświadczenia Stron</w:t>
      </w:r>
    </w:p>
    <w:p>
      <w:pPr>
        <w:pStyle w:val="Tretekstu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 oświadcza, że posiada uprawnienia wymagane do organizowania transgranicznego przemieszczania odpadów objętych niniejszą umową.</w:t>
      </w:r>
    </w:p>
    <w:p>
      <w:pPr>
        <w:pStyle w:val="Tretekstu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Odbiorca oświadcza, że posiada uprawnienia wymagane do przyjęcia odpadów objętych niniejszą umową oraz do dalszego postępowania z nimi zgodnie z obowiązującymi przepisami.</w:t>
      </w:r>
    </w:p>
    <w:p>
      <w:pPr>
        <w:pStyle w:val="Tretekstu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Jeżeli w realizacji umowy uczestniczy Instalacja, Instalacja oświadcza, że posiada decyzje administracyjne, zezwolenia, wpisy do rejestrów lub inne uprawnienia wymagane do prowadzenia procesu odzysku odpadów objętych niniejszą umową.</w:t>
      </w:r>
    </w:p>
    <w:p>
      <w:pPr>
        <w:pStyle w:val="Tretekstu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Każda ze Stron oświadcza, że informacje przekazywane pozostałym Stronom w związku z realizacją umowy będą zgodne z jej najlepszą wiedzą oraz dokumentami, którymi dysponuje.</w:t>
      </w:r>
    </w:p>
    <w:p>
      <w:pPr>
        <w:pStyle w:val="Tretekstu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Każda ze Stron zobowiązuje się niezwłocznie poinformować pozostałe Strony o zmianie okoliczności, która może mieć wpływ na zgodne z prawem wykonanie umowy, w szczególności o: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a) cofnięciu, zawieszeniu, wygaśnięciu lub zmianie wymaganych decyzji administracyjnych;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utracie wpisu do wymaganego rejestru;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c) zmianie danych identyfikacyjnych lub adresowych;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d) wszczęciu postępowania mogącego mieć wpływ na możliwość realizacji umowy;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e) utracie możliwości przyjęcia odpadów lub wykonania procesu odzysku;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f) innym zdarzeniu, które może uniemożliwić lub utrudnić zgodne z prawem zakończenie transportu.</w:t>
      </w:r>
    </w:p>
    <w:p>
      <w:pPr>
        <w:pStyle w:val="Nagwek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§3. Obowiązki Organizatora</w:t>
      </w:r>
    </w:p>
    <w:p>
      <w:pPr>
        <w:pStyle w:val="Tretekstu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 zobowiązuje się organizować przemieszczanie odpadów zgodnie z Rozporządzeniem (UE) 2024/1157 oraz innymi przepisami mającymi zastosowanie do danego przemieszczania.</w:t>
      </w:r>
    </w:p>
    <w:p>
      <w:pPr>
        <w:pStyle w:val="Tretekstu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 odpowiada za przygotowanie lub zapewnienie przygotowania dokumentów wymaganych do rozpoczęcia i realizacji przemieszczania odpadów, jeżeli obowiązek ten spoczywa na nim zgodnie z przepisami prawa lub uzgodnieniami Stron.</w:t>
      </w:r>
    </w:p>
    <w:p>
      <w:pPr>
        <w:pStyle w:val="Tretekstu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 zobowiązuje się przekazać Odbiorcy oraz, jeżeli dotyczy, Instalacji informacje niezbędne do prawidłowego przyjęcia odpadów i wykonania procesu odzysku.</w:t>
      </w:r>
    </w:p>
    <w:p>
      <w:pPr>
        <w:pStyle w:val="Tretekstu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 zobowiązuje się upewnić, że przewoźnik uczestniczący w przemieszczaniu odpadów posiada uprawnienia wymagane do wykonania transportu w państwach, których dotyczy dane przemieszczanie, o ile obowiązek takiej weryfikacji spoczywa na Organizatorze.</w:t>
      </w:r>
    </w:p>
    <w:p>
      <w:pPr>
        <w:pStyle w:val="Tretekstu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 zobowiązuje się niezwłocznie informować pozostałe Strony o każdej okoliczności, która może uniemożliwić lub utrudnić zgodne z prawem rozpoczęcie, przeprowadzenie albo zakończenie przemieszczania odpadów.</w:t>
      </w:r>
    </w:p>
    <w:p>
      <w:pPr>
        <w:pStyle w:val="Tretekstu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 wykonuje obowiązki wynikające z art. 18 Rozporządzenia (UE) 2024/1157 oraz innych przepisów mających zastosowanie do danego przemieszczania odpadów.</w:t>
      </w:r>
    </w:p>
    <w:p>
      <w:pPr>
        <w:pStyle w:val="Tretekstu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 przechowuje dokumentację dotyczącą przemieszczania odpadów przez okres wymagany obowiązującymi przepisami prawa.</w:t>
      </w:r>
    </w:p>
    <w:p>
      <w:pPr>
        <w:pStyle w:val="Nagwek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§4. Obowiązki Odbiorcy</w:t>
      </w:r>
    </w:p>
    <w:p>
      <w:pPr>
        <w:pStyle w:val="Tretekstu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Odbiorca zobowiązuje się przyjąć odpady objęte niniejszą umową, jeżeli przemieszczanie zostało zorganizowane zgodnie z obowiązującymi przepisami oraz uzgodnieniami Stron.</w:t>
      </w:r>
    </w:p>
    <w:p>
      <w:pPr>
        <w:pStyle w:val="Tretekstu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Odbiorca zobowiązuje się zapewnić, aby odpady zostały przekazane do odzysku zgodnie z obowiązującymi przepisami, chyba że sam prowadzi proces odzysku.</w:t>
      </w:r>
    </w:p>
    <w:p>
      <w:pPr>
        <w:pStyle w:val="Tretekstu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Odbiorca zobowiązuje się przekazywać Organizatorowi informacje niezbędne do prawidłowego przygotowania dokumentów dotyczących przemieszczania odpadów.</w:t>
      </w:r>
    </w:p>
    <w:p>
      <w:pPr>
        <w:pStyle w:val="Tretekstu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Odbiorca zobowiązuje się niezwłocznie poinformować Organizatora oraz, jeżeli dotyczy, Instalację o każdej okoliczności, która może uniemożliwić przyjęcie odpadów, ich przekazanie do odzysku albo wykonanie procesu odzysku.</w:t>
      </w:r>
    </w:p>
    <w:p>
      <w:pPr>
        <w:pStyle w:val="Tretekstu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Jeżeli Odbiorca stwierdzi, że odpady nie odpowiadają dokumentacji dotyczącej danego przemieszczania lub nie mogą zostać przyjęte zgodnie z obowiązującymi przepisami, niezwłocznie poinformuje o tym Organizatora.</w:t>
      </w:r>
    </w:p>
    <w:p>
      <w:pPr>
        <w:pStyle w:val="Tretekstu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Informacja, o której mowa w ust. 5, powinna wskazywać przyczynę odmowy przyjęcia odpadów oraz, jeżeli jest to możliwe, propozycję dalszego postępowania.</w:t>
      </w:r>
    </w:p>
    <w:p>
      <w:pPr>
        <w:pStyle w:val="Tretekstu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Odbiorca współpracuje z Organizatorem, Instalacją oraz właściwymi organami administracji w zakresie niezbędnym do zgodnego z prawem zakończenia przemieszczania odpadów.</w:t>
      </w:r>
    </w:p>
    <w:p>
      <w:pPr>
        <w:pStyle w:val="Nagwek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§5. Obowiązki Instalacji odzysku</w:t>
      </w:r>
    </w:p>
    <w:p>
      <w:pPr>
        <w:pStyle w:val="Tretekstu"/>
        <w:numPr>
          <w:ilvl w:val="0"/>
          <w:numId w:val="5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Postanowienia niniejszego paragrafu stosuje się wyłącznie wtedy, gdy Instalacja nie jest jednocześnie Odbiorcą.</w:t>
      </w:r>
    </w:p>
    <w:p>
      <w:pPr>
        <w:pStyle w:val="Tretekstu"/>
        <w:numPr>
          <w:ilvl w:val="0"/>
          <w:numId w:val="5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Instalacja zobowiązuje się przyjąć odpady objęte niniejszą umową i przeprowadzić proces odzysku zgodnie z posiadanymi uprawnieniami oraz obowiązującymi przepisami prawa.</w:t>
      </w:r>
    </w:p>
    <w:p>
      <w:pPr>
        <w:pStyle w:val="Tretekstu"/>
        <w:numPr>
          <w:ilvl w:val="0"/>
          <w:numId w:val="5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Instalacja zobowiązuje się niezwłocznie poinformować Organizatora i Odbiorcę o każdej okoliczności, która może uniemożliwić lub opóźnić przyjęcie odpadów albo wykonanie procesu odzysku.</w:t>
      </w:r>
    </w:p>
    <w:p>
      <w:pPr>
        <w:pStyle w:val="Tretekstu"/>
        <w:numPr>
          <w:ilvl w:val="0"/>
          <w:numId w:val="5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Jeżeli Instalacja utraci wymagane uprawnienia, czasowo wstrzyma przyjmowanie odpadów albo z innego powodu nie będzie mogła wykonać procesu odzysku, niezwłocznie poinformuje o tym Organizatora i Odbiorcę.</w:t>
      </w:r>
    </w:p>
    <w:p>
      <w:pPr>
        <w:pStyle w:val="Tretekstu"/>
        <w:numPr>
          <w:ilvl w:val="0"/>
          <w:numId w:val="5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Instalacja współpracuje z Organizatorem, Odbiorcą oraz właściwymi organami administracji w zakresie niezbędnym do zgodnego z prawem zakończenia przemieszczania odpadów.</w:t>
      </w:r>
    </w:p>
    <w:p>
      <w:pPr>
        <w:pStyle w:val="Nagwek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§6. Dokumentacja i wymiana informacji</w:t>
      </w:r>
    </w:p>
    <w:p>
      <w:pPr>
        <w:pStyle w:val="Tretekstu"/>
        <w:numPr>
          <w:ilvl w:val="0"/>
          <w:numId w:val="6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Strony zobowiązują się sporządzać, podpisywać, przekazywać i przechowywać dokumenty wymagane przepisami prawa w zakresie, w jakim obowiązek ten dotyczy danej Strony.</w:t>
      </w:r>
    </w:p>
    <w:p>
      <w:pPr>
        <w:pStyle w:val="Tretekstu"/>
        <w:numPr>
          <w:ilvl w:val="0"/>
          <w:numId w:val="6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Każda ze Stron odpowiada za prawidłowość informacji i dokumentów sporządzanych lub przekazywanych przez siebie.</w:t>
      </w:r>
    </w:p>
    <w:p>
      <w:pPr>
        <w:pStyle w:val="Tretekstu"/>
        <w:numPr>
          <w:ilvl w:val="0"/>
          <w:numId w:val="6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Strony przekazują sobie informacje w terminie umożliwiającym prawidłowe przygotowanie, rozpoczęcie, realizację i zakończenie przemieszczania odpadów.</w:t>
      </w:r>
    </w:p>
    <w:p>
      <w:pPr>
        <w:pStyle w:val="Tretekstu"/>
        <w:numPr>
          <w:ilvl w:val="0"/>
          <w:numId w:val="6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Strony niezwłocznie informują się wzajemnie o: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a) zatrzymaniu transportu przez właściwy organ;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odmowie przyjęcia odpadów;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c) stwierdzeniu niezgodności dokumentacji;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d) zmianie danych wymaganych w dokumentach dotyczących przemieszczania;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e) utracie lub zmianie wymaganych decyzji, zezwoleń lub wpisów;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f) awarii Instalacji lub innej przeszkodzie w wykonaniu procesu odzysku;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g) każdej decyzji właściwego organu mogącej mieć wpływ na dane przemieszczanie odpadów.</w:t>
      </w:r>
    </w:p>
    <w:p>
      <w:pPr>
        <w:pStyle w:val="Tretekstu"/>
        <w:numPr>
          <w:ilvl w:val="0"/>
          <w:numId w:val="6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Jeżeli przepisy wymagają przekazania informacji za pośrednictwem systemu teleinformatycznego, Strony współdziałają w zakresie niezbędnym do terminowego i prawidłowego wykonania tego obowiązku.</w:t>
      </w:r>
    </w:p>
    <w:p>
      <w:pPr>
        <w:pStyle w:val="Tretekstu"/>
        <w:numPr>
          <w:ilvl w:val="0"/>
          <w:numId w:val="6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Każda ze Stron wyznacza osobę odpowiedzialną za bieżący kontakt w sprawach związanych z realizacją umowy i niezwłocznie informuje pozostałe Strony o zmianie tej osoby lub jej danych kontaktowych.</w:t>
      </w:r>
    </w:p>
    <w:p>
      <w:pPr>
        <w:pStyle w:val="Nagwek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§7. Postępowanie w przypadku niemożności zakończenia przemieszczania odpadów</w:t>
      </w:r>
    </w:p>
    <w:p>
      <w:pPr>
        <w:pStyle w:val="Tretekstu"/>
        <w:numPr>
          <w:ilvl w:val="0"/>
          <w:numId w:val="7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Jeżeli przemieszczanie odpadów nie może zostać zakończone zgodnie z planem lub zgodnie z obowiązującymi przepisami prawa, Strony zobowiązują się do niezwłocznego podjęcia współpracy w celu ustalenia przyczyn zaistniałej sytuacji oraz sposobu jej rozwiązania.</w:t>
      </w:r>
    </w:p>
    <w:p>
      <w:pPr>
        <w:pStyle w:val="Tretekstu"/>
        <w:numPr>
          <w:ilvl w:val="0"/>
          <w:numId w:val="7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Strona, która jako pierwsza uzyska informację o okolicznościach mogących uniemożliwić zakończenie przemieszczania odpadów, niezwłocznie informuje o tym pozostałe Strony.</w:t>
      </w:r>
    </w:p>
    <w:p>
      <w:pPr>
        <w:pStyle w:val="Tretekstu"/>
        <w:numPr>
          <w:ilvl w:val="0"/>
          <w:numId w:val="7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Informacja, o której mowa w ust. 2, powinna w miarę możliwości zawierać: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a) opis zaistniałej sytuacji;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datę jej stwierdzenia;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c) wskazanie transportu, którego dotyczy;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d) przewidywane skutki dla dalszej realizacji przemieszczania;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e) proponowane działania umożliwiające zgodne z prawem zakończenie transportu.</w:t>
      </w:r>
    </w:p>
    <w:p>
      <w:pPr>
        <w:pStyle w:val="Tretekstu"/>
        <w:numPr>
          <w:ilvl w:val="0"/>
          <w:numId w:val="7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Strony zobowiązują się współpracować z właściwymi organami administracji oraz wykonywać obowiązki wynikające z obowiązujących przepisów prawa i wydanych decyzji administracyjnych.</w:t>
      </w:r>
    </w:p>
    <w:p>
      <w:pPr>
        <w:pStyle w:val="Tretekstu"/>
        <w:numPr>
          <w:ilvl w:val="0"/>
          <w:numId w:val="7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 podejmuje działania wymagane przepisami Rozporządzenia (UE) 2024/1157, natomiast Odbiorca oraz Instalacja udzielają Organizatorowi wszelkiej niezbędnej pomocy oraz przekazują informacje i dokumenty potrzebne do wykonania tych obowiązków.</w:t>
      </w:r>
    </w:p>
    <w:p>
      <w:pPr>
        <w:pStyle w:val="Tretekstu"/>
        <w:numPr>
          <w:ilvl w:val="0"/>
          <w:numId w:val="7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Jeżeli przyczyna niemożności zakończenia przemieszczania odpadów leży po stronie jednej ze Stron, Strona ta zobowiązuje się współpracować przy usunięciu przyczyn zaistniałej sytuacji oraz ograniczeniu jej skutków.</w:t>
      </w:r>
    </w:p>
    <w:p>
      <w:pPr>
        <w:pStyle w:val="Tretekstu"/>
        <w:numPr>
          <w:ilvl w:val="0"/>
          <w:numId w:val="7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Strony zobowiązują się podejmować działania w sposób ograniczający ryzyko dla środowiska oraz minimalizujący skutki organizacyjne i finansowe zaistniałej sytuacji.</w:t>
      </w:r>
    </w:p>
    <w:p>
      <w:pPr>
        <w:pStyle w:val="Nagwek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§8. Nielegalne przemieszczanie odpadów</w:t>
      </w:r>
    </w:p>
    <w:p>
      <w:pPr>
        <w:pStyle w:val="Tretekstu"/>
        <w:numPr>
          <w:ilvl w:val="0"/>
          <w:numId w:val="8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przypadku stwierdzenia nielegalnego przemieszczania odpadów Strony zobowiązują się do niezwłocznego podjęcia współpracy w celu wykonania obowiązków wynikających z obowiązujących przepisów prawa.</w:t>
      </w:r>
    </w:p>
    <w:p>
      <w:pPr>
        <w:pStyle w:val="Tretekstu"/>
        <w:numPr>
          <w:ilvl w:val="0"/>
          <w:numId w:val="8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 wykonuje obowiązki nałożone na niego przepisami prawa, w szczególności obowiązki dotyczące odbioru odpadów, zapewnienia ich odzysku lub innego zgodnego z prawem zagospodarowania, jeżeli obowiązek taki wynika z Rozporządzenia (UE) 2024/1157 lub decyzji właściwego organu.</w:t>
      </w:r>
    </w:p>
    <w:p>
      <w:pPr>
        <w:pStyle w:val="Tretekstu"/>
        <w:numPr>
          <w:ilvl w:val="0"/>
          <w:numId w:val="8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Odbiorca oraz Instalacja zobowiązują się udzielić Organizatorowi wszelkiej pomocy niezbędnej do wykonania obowiązków, o których mowa w ust. 2, w szczególności poprzez: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a) przekazanie wymaganych informacji i dokumentów;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współpracę z właściwymi organami administracji;</w:t>
      </w:r>
    </w:p>
    <w:p>
      <w:pPr>
        <w:pStyle w:val="Tretekstu"/>
        <w:numPr>
          <w:ilvl w:val="0"/>
          <w:numId w:val="0"/>
        </w:numPr>
        <w:bidi w:val="0"/>
        <w:ind w:lef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c) umożliwienie przeprowadzenia czynności wymaganych przepisami prawa.</w:t>
      </w:r>
    </w:p>
    <w:p>
      <w:pPr>
        <w:pStyle w:val="Tretekstu"/>
        <w:numPr>
          <w:ilvl w:val="0"/>
          <w:numId w:val="8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Jeżeli przepisy prawa dopuszczają więcej niż jeden sposób zgodnego z prawem zakończenia sprawy, Strony zobowiązują się współpracować przy wyborze rozwiązania najbardziej racjonalnego z punktu widzenia ochrony środowiska oraz kosztów jego realizacji.</w:t>
      </w:r>
    </w:p>
    <w:p>
      <w:pPr>
        <w:pStyle w:val="Tretekstu"/>
        <w:numPr>
          <w:ilvl w:val="0"/>
          <w:numId w:val="8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Postanowienia niniejszego paragrafu nie wyłączają ani nie ograniczają odpowiedzialności którejkolwiek ze Stron wynikającej z obowiązujących przepisów prawa.</w:t>
      </w:r>
    </w:p>
    <w:p>
      <w:pPr>
        <w:pStyle w:val="Nagwek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§9. Koszty</w:t>
      </w:r>
    </w:p>
    <w:p>
      <w:pPr>
        <w:pStyle w:val="Tretekstu"/>
        <w:numPr>
          <w:ilvl w:val="0"/>
          <w:numId w:val="9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Każda ze Stron ponosi koszty wykonywania obowiązków, które zgodnie z obowiązującymi przepisami prawa oraz niniejszą umową należą do jej zakresu odpowiedzialności.</w:t>
      </w:r>
    </w:p>
    <w:p>
      <w:pPr>
        <w:pStyle w:val="Tretekstu"/>
        <w:numPr>
          <w:ilvl w:val="0"/>
          <w:numId w:val="9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 ponosi koszty, do których poniesienia jest zobowiązany na podstawie Rozporządzenia (UE) 2024/1157 lub decyzji właściwego organu.</w:t>
      </w:r>
    </w:p>
    <w:p>
      <w:pPr>
        <w:pStyle w:val="Tretekstu"/>
        <w:numPr>
          <w:ilvl w:val="0"/>
          <w:numId w:val="9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Jeżeli konieczność poniesienia dodatkowych kosztów wynika z działania lub zaniechania jednej ze Stron, pozostałe Strony mogą dochodzić zwrotu poniesionych kosztów na zasadach wynikających z obowiązujących przepisów prawa.</w:t>
      </w:r>
    </w:p>
    <w:p>
      <w:pPr>
        <w:pStyle w:val="Tretekstu"/>
        <w:numPr>
          <w:ilvl w:val="0"/>
          <w:numId w:val="9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Przed podjęciem działań powodujących powstanie nadzwyczajnych kosztów Strony, o ile pozwalają na to okoliczności, konsultują sposób dalszego postępowania.</w:t>
      </w:r>
    </w:p>
    <w:p>
      <w:pPr>
        <w:pStyle w:val="Tretekstu"/>
        <w:numPr>
          <w:ilvl w:val="0"/>
          <w:numId w:val="9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Postanowienia niniejszego paragrafu nie ograniczają uprawnień Stron do dochodzenia odszkodowania na zasadach wynikających z obowiązujących przepisów prawa.</w:t>
      </w:r>
    </w:p>
    <w:p>
      <w:pPr>
        <w:pStyle w:val="Nagwek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§10. Okres obowiązywania i rozwiązanie umowy</w:t>
      </w:r>
    </w:p>
    <w:p>
      <w:pPr>
        <w:pStyle w:val="Tretekstu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Umowa zostaje zawarta na czas nieokreślony i obowiązuje od dnia jej podpisania przez wszystkie Strony.</w:t>
      </w:r>
    </w:p>
    <w:p>
      <w:pPr>
        <w:pStyle w:val="Tretekstu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Każda ze Stron może wypowiedzieć umowę z zachowaniem .......... dni okresu wypowiedzenia.</w:t>
      </w:r>
    </w:p>
    <w:p>
      <w:pPr>
        <w:pStyle w:val="Tretekstu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Wypowiedzenie umowy pozostaje bez wpływu na prawa i obowiązki Stron dotyczące przemieszczeń rozpoczętych przed dniem rozwiązania umowy.</w:t>
      </w:r>
    </w:p>
    <w:p>
      <w:pPr>
        <w:pStyle w:val="Tretekstu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Rozwiązanie umowy nie zwalnia Stron z wykonania obowiązków wynikających z obowiązujących przepisów prawa ani z obowiązków powstałych przed dniem jej rozwiązania.</w:t>
      </w:r>
    </w:p>
    <w:p>
      <w:pPr>
        <w:pStyle w:val="Nagwek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§11. Siła wyższa</w:t>
      </w:r>
    </w:p>
    <w:p>
      <w:pPr>
        <w:pStyle w:val="Tretekstu"/>
        <w:numPr>
          <w:ilvl w:val="0"/>
          <w:numId w:val="11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Strona nie ponosi odpowiedzialności za niewykonanie lub nienależyte wykonanie obowiązków wynikających z niniejszej umowy, jeżeli nastąpiło ono wyłącznie wskutek działania siły wyższej.</w:t>
      </w:r>
    </w:p>
    <w:p>
      <w:pPr>
        <w:pStyle w:val="Tretekstu"/>
        <w:numPr>
          <w:ilvl w:val="0"/>
          <w:numId w:val="11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Przez siłę wyższą Strony rozumieją zdarzenie zewnętrzne, niemożliwe do przewidzenia oraz niemożliwe do zapobieżenia pomimo zachowania należytej staranności, w szczególności klęski żywiołowe, działania wojenne, akty terrorystyczne, powszechne strajki, długotrwałe awarie infrastruktury krytycznej lub inne zdarzenia o podobnym charakterze.</w:t>
      </w:r>
    </w:p>
    <w:p>
      <w:pPr>
        <w:pStyle w:val="Tretekstu"/>
        <w:numPr>
          <w:ilvl w:val="0"/>
          <w:numId w:val="11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Strona powołująca się na działanie siły wyższej zobowiązuje się niezwłocznie poinformować o tym pozostałe Strony oraz podjąć działania zmierzające do ograniczenia skutków tego zdarzenia.</w:t>
      </w:r>
    </w:p>
    <w:p>
      <w:pPr>
        <w:pStyle w:val="Tretekstu"/>
        <w:numPr>
          <w:ilvl w:val="0"/>
          <w:numId w:val="11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Ustanie działania siły wyższej nie zwalnia Stron z obowiązku dalszego wykonywania niniejszej umowy, o ile jest to możliwe zgodnie z obowiązującymi przepisami prawa.</w:t>
      </w:r>
    </w:p>
    <w:p>
      <w:pPr>
        <w:pStyle w:val="Nagwek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§12. Poufność</w:t>
      </w:r>
    </w:p>
    <w:p>
      <w:pPr>
        <w:pStyle w:val="Tretekstu"/>
        <w:numPr>
          <w:ilvl w:val="0"/>
          <w:numId w:val="12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Strony zobowiązują się zachować w poufności informacje uzyskane w związku z wykonywaniem niniejszej umowy, których ujawnienie mogłoby naruszyć uzasadnione interesy którejkolwiek ze Stron.</w:t>
      </w:r>
    </w:p>
    <w:p>
      <w:pPr>
        <w:pStyle w:val="Tretekstu"/>
        <w:numPr>
          <w:ilvl w:val="0"/>
          <w:numId w:val="12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Obowiązek zachowania poufności nie dotyczy informacji: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a) których ujawnienie jest wymagane przez obowiązujące przepisy prawa;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przekazywanych właściwym organom administracji w zakresie niezbędnym do wykonania obowiązków wynikających z przepisów prawa;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c) które są publicznie dostępne, o ile nie stały się takimi wskutek naruszenia niniejszej umowy.</w:t>
      </w:r>
    </w:p>
    <w:p>
      <w:pPr>
        <w:pStyle w:val="Tretekstu"/>
        <w:numPr>
          <w:ilvl w:val="0"/>
          <w:numId w:val="13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Obowiązek zachowania poufności obowiązuje również po rozwiązaniu lub wygaśnięciu niniejszej umowy.</w:t>
      </w:r>
    </w:p>
    <w:p>
      <w:pPr>
        <w:pStyle w:val="Nagwek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§13. Postanowienia końcowe</w:t>
      </w:r>
    </w:p>
    <w:p>
      <w:pPr>
        <w:pStyle w:val="Tretekstu"/>
        <w:numPr>
          <w:ilvl w:val="0"/>
          <w:numId w:val="14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sprawach nieuregulowanych niniejszą umową zastosowanie mają przepisy Rozporządzenia Parlamentu Europejskiego i Rady (UE) 2024/1157, przepisy prawa Unii Europejskiej oraz właściwe przepisy prawa krajowego.</w:t>
      </w:r>
    </w:p>
    <w:p>
      <w:pPr>
        <w:pStyle w:val="Tretekstu"/>
        <w:numPr>
          <w:ilvl w:val="0"/>
          <w:numId w:val="14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Wszelkie zmiany niniejszej umowy wymagają formy pisemnej lub innej formy dopuszczonej przez obowiązujące przepisy prawa.</w:t>
      </w:r>
    </w:p>
    <w:p>
      <w:pPr>
        <w:pStyle w:val="Tretekstu"/>
        <w:numPr>
          <w:ilvl w:val="0"/>
          <w:numId w:val="14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Jeżeli którekolwiek z postanowień niniejszej umowy okaże się nieważne lub bezskuteczne, nie wpływa to na ważność pozostałych postanowień. Strony zobowiązują się zastąpić takie postanowienie innym, które w możliwie największym stopniu odpowiada jego celowi gospodarczemu i prawnemu.</w:t>
      </w:r>
    </w:p>
    <w:p>
      <w:pPr>
        <w:pStyle w:val="Tretekstu"/>
        <w:numPr>
          <w:ilvl w:val="0"/>
          <w:numId w:val="14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Strony zobowiązują się dążyć do polubownego rozwiązywania wszelkich sporów wynikających z wykonywania niniejszej umowy.</w:t>
      </w:r>
    </w:p>
    <w:p>
      <w:pPr>
        <w:pStyle w:val="Tretekstu"/>
        <w:numPr>
          <w:ilvl w:val="0"/>
          <w:numId w:val="14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Jeżeli osiągnięcie porozumienia okaże się niemożliwe, spory wynikające z niniejszej umowy będą rozstrzygane przez sąd właściwy dla ..............................................................., chyba że Strony postanowią inaczej.</w:t>
      </w:r>
    </w:p>
    <w:p>
      <w:pPr>
        <w:pStyle w:val="Tretekstu"/>
        <w:numPr>
          <w:ilvl w:val="0"/>
          <w:numId w:val="14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Umowę sporządzono w .......... jednobrzmiących egzemplarzach, po .......... dla każdej ze Stron.</w:t>
      </w:r>
    </w:p>
    <w:p>
      <w:pPr>
        <w:pStyle w:val="Tretekstu"/>
        <w:numPr>
          <w:ilvl w:val="0"/>
          <w:numId w:val="14"/>
        </w:numPr>
        <w:tabs>
          <w:tab w:val="clear" w:pos="1134"/>
          <w:tab w:val="left" w:pos="709" w:leader="none"/>
        </w:tabs>
        <w:bidi w:val="0"/>
        <w:ind w:left="709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Jeżeli umowę sporządzono w więcej niż jednej wersji językowej, Strony uzgadniają, że w przypadku rozbieżności interpretacyjnych wiążąca jest wersja ...............................................................</w:t>
      </w:r>
    </w:p>
    <w:p>
      <w:pPr>
        <w:pStyle w:val="Nagwek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>
        <w:br w:type="page"/>
      </w:r>
    </w:p>
    <w:p>
      <w:pPr>
        <w:pStyle w:val="Nagwek1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Podpisy stron</w:t>
      </w:r>
    </w:p>
    <w:p>
      <w:pPr>
        <w:pStyle w:val="Nagwek3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Nazwa firmy: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Osoba upoważniona: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Stanowisko: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i podpis: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</w:t>
      </w:r>
    </w:p>
    <w:p>
      <w:pPr>
        <w:pStyle w:val="Nagwek3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ODBIORCA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Nazwa firmy: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Osoba upoważniona: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Stanowisko: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i podpis: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</w:t>
      </w:r>
    </w:p>
    <w:p>
      <w:pPr>
        <w:pStyle w:val="Nagwek3"/>
        <w:bidi w:val="0"/>
        <w:jc w:val="left"/>
        <w:rPr/>
      </w:pPr>
      <w:r>
        <w:rPr>
          <w:rFonts w:ascii="Arial" w:hAnsi="Arial"/>
          <w:sz w:val="22"/>
          <w:szCs w:val="22"/>
        </w:rPr>
        <w:t xml:space="preserve">INSTALACJA ODZYSKU </w:t>
      </w:r>
      <w:r>
        <w:rPr>
          <w:rStyle w:val="Wyrnienie"/>
          <w:rFonts w:ascii="Arial" w:hAnsi="Arial"/>
          <w:sz w:val="22"/>
          <w:szCs w:val="22"/>
        </w:rPr>
        <w:t>(jeżeli dotyczy)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Nazwa firmy: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Osoba upoważniona: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Stanowisko: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i podpis: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</w:t>
      </w:r>
    </w:p>
    <w:p>
      <w:pPr>
        <w:pStyle w:val="Nagwek2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Oświadczenie Stron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Strony oświadczają, że zapoznały się z treścią niniejszej umowy, rozumieją wynikające z niej prawa i obowiązki oraz zawierają ją dobrowolnie.</w:t>
      </w:r>
    </w:p>
    <w:p>
      <w:pPr>
        <w:pStyle w:val="Tretekstu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Podpisanie niniejszej umowy nie zwalnia żadnej ze Stron z obowiązku przestrzegania przepisów prawa mających zastosowanie do transgranicznego przemieszczania odpadów, w szczególności przepisów Rozporządzenia Parlamentu Europejskiego i Rady (UE) 2024/1157 oraz przepisów krajowych właściwych dla państw uczestniczących w przemieszczaniu odpadów.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3"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pl-PL" w:eastAsia="zh-CN" w:bidi="hi-IN"/>
    </w:rPr>
  </w:style>
  <w:style w:type="paragraph" w:styleId="Nagwek1">
    <w:name w:val="Heading 1"/>
    <w:basedOn w:val="Nagwek"/>
    <w:next w:val="Tretekstu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Nagwek3">
    <w:name w:val="Heading 3"/>
    <w:basedOn w:val="Nagwek"/>
    <w:next w:val="Tretekstu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Mocnewyrnione">
    <w:name w:val="Mocne wyróżnione"/>
    <w:qFormat/>
    <w:rPr>
      <w:b/>
      <w:bCs/>
    </w:rPr>
  </w:style>
  <w:style w:type="character" w:styleId="Znakinumeracji">
    <w:name w:val="Znaki numeracji"/>
    <w:qFormat/>
    <w:rPr/>
  </w:style>
  <w:style w:type="character" w:styleId="Wyrnienie">
    <w:name w:val="Wyróżnienie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283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283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niapozioma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LibreOffice/7.3.2.2$Windows_X86_64 LibreOffice_project/49f2b1bff42cfccbd8f788c8dc32c1c309559be0</Application>
  <AppVersion>15.0000</AppVersion>
  <Pages>10</Pages>
  <Words>2091</Words>
  <Characters>17370</Characters>
  <CharactersWithSpaces>19226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2026-07-01T12:50:13Z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